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42" w:rsidRDefault="004D0742">
      <w:pPr>
        <w:pStyle w:val="BodyText"/>
        <w:rPr>
          <w:sz w:val="20"/>
        </w:rPr>
      </w:pPr>
    </w:p>
    <w:p w:rsidR="004D0742" w:rsidRDefault="00B62F9D">
      <w:pPr>
        <w:pStyle w:val="Title"/>
      </w:pPr>
      <w:bookmarkStart w:id="0" w:name="Fluids_Syllabus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979805</wp:posOffset>
            </wp:positionH>
            <wp:positionV relativeFrom="paragraph">
              <wp:posOffset>-150495</wp:posOffset>
            </wp:positionV>
            <wp:extent cx="1333500" cy="1295400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ofu_medallion™_r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Ph.D.</w:t>
      </w:r>
      <w:r>
        <w:rPr>
          <w:spacing w:val="-6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Exam:</w:t>
      </w:r>
      <w:r>
        <w:rPr>
          <w:spacing w:val="-5"/>
        </w:rPr>
        <w:t xml:space="preserve"> </w:t>
      </w:r>
      <w:r>
        <w:t>Fluid</w:t>
      </w:r>
      <w:r>
        <w:rPr>
          <w:spacing w:val="-8"/>
        </w:rPr>
        <w:t xml:space="preserve"> </w:t>
      </w:r>
      <w:r w:rsidR="008371CD">
        <w:rPr>
          <w:spacing w:val="-2"/>
        </w:rPr>
        <w:t>Mechanics</w:t>
      </w:r>
    </w:p>
    <w:p w:rsidR="004D0742" w:rsidRDefault="00B62F9D">
      <w:pPr>
        <w:ind w:left="3021" w:right="18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Mechanical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Engineering University of Utah</w:t>
      </w:r>
    </w:p>
    <w:p w:rsidR="004D0742" w:rsidRDefault="004D0742">
      <w:pPr>
        <w:ind w:left="3021"/>
        <w:rPr>
          <w:rFonts w:ascii="Times New Roman" w:hAnsi="Times New Roman"/>
          <w:sz w:val="24"/>
        </w:rPr>
      </w:pPr>
    </w:p>
    <w:p w:rsidR="004D0742" w:rsidRDefault="004D0742">
      <w:pPr>
        <w:pStyle w:val="BodyText"/>
        <w:rPr>
          <w:sz w:val="20"/>
        </w:rPr>
      </w:pPr>
    </w:p>
    <w:p w:rsidR="004D0742" w:rsidRDefault="004D0742">
      <w:pPr>
        <w:pStyle w:val="BodyText"/>
        <w:rPr>
          <w:sz w:val="20"/>
        </w:rPr>
      </w:pPr>
    </w:p>
    <w:p w:rsidR="004D0742" w:rsidRDefault="00B62F9D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162560</wp:posOffset>
                </wp:positionV>
                <wp:extent cx="5981065" cy="18415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BDE1A" id="docshape1" o:spid="_x0000_s1026" style="position:absolute;margin-left:70.6pt;margin-top:12.8pt;width:470.95pt;height:1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4D0742" w:rsidRDefault="004D0742">
      <w:pPr>
        <w:pStyle w:val="BodyText"/>
        <w:rPr>
          <w:sz w:val="20"/>
        </w:rPr>
      </w:pPr>
    </w:p>
    <w:p w:rsidR="004D0742" w:rsidRDefault="004D0742">
      <w:pPr>
        <w:pStyle w:val="BodyText"/>
        <w:spacing w:before="5"/>
        <w:rPr>
          <w:sz w:val="23"/>
        </w:rPr>
      </w:pPr>
    </w:p>
    <w:p w:rsidR="004D0742" w:rsidRDefault="00B62F9D">
      <w:pPr>
        <w:pStyle w:val="BodyText"/>
        <w:ind w:left="180" w:right="134"/>
        <w:rPr>
          <w:b/>
          <w:spacing w:val="80"/>
          <w:w w:val="150"/>
        </w:rPr>
      </w:pPr>
      <w:r>
        <w:rPr>
          <w:b/>
        </w:rPr>
        <w:t>Exam Description:</w:t>
      </w:r>
    </w:p>
    <w:p w:rsidR="004D0742" w:rsidRDefault="004D0742">
      <w:pPr>
        <w:pStyle w:val="BodyText"/>
        <w:ind w:left="180" w:right="134"/>
        <w:rPr>
          <w:b/>
          <w:spacing w:val="80"/>
          <w:w w:val="150"/>
        </w:rPr>
      </w:pPr>
    </w:p>
    <w:p w:rsidR="004D0742" w:rsidRDefault="00B62F9D">
      <w:pPr>
        <w:pStyle w:val="BodyText"/>
        <w:ind w:left="720" w:right="134"/>
      </w:pPr>
      <w:r>
        <w:t xml:space="preserve">This qualifying exam will test the student’s graduate-level knowledge of fluid </w:t>
      </w:r>
      <w:r w:rsidR="00564805">
        <w:t>mechanics</w:t>
      </w:r>
      <w:bookmarkStart w:id="1" w:name="_GoBack"/>
      <w:bookmarkEnd w:id="1"/>
      <w:r>
        <w:t>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textbooks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 exam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3710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 EN 6700.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testing the knowledge and approach to problem solving involving fundamental concepts appropriate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fluid</w:t>
      </w:r>
      <w:r>
        <w:rPr>
          <w:spacing w:val="-7"/>
        </w:rPr>
        <w:t xml:space="preserve"> </w:t>
      </w:r>
      <w:r>
        <w:t>dynamics.</w:t>
      </w:r>
      <w:r>
        <w:rPr>
          <w:spacing w:val="-7"/>
        </w:rPr>
        <w:t xml:space="preserve"> Among other topics, s</w:t>
      </w:r>
      <w:r>
        <w:t>tudents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comfortable converting</w:t>
      </w:r>
      <w:r>
        <w:rPr>
          <w:spacing w:val="-1"/>
        </w:rPr>
        <w:t xml:space="preserve"> </w:t>
      </w:r>
      <w:r>
        <w:t>between index notation</w:t>
      </w:r>
      <w:r>
        <w:rPr>
          <w:spacing w:val="-1"/>
        </w:rPr>
        <w:t xml:space="preserve"> </w:t>
      </w:r>
      <w:r>
        <w:t xml:space="preserve">and vector notation, visualizing and explaining flow kinematics, providing a physical explanation of the terms in the </w:t>
      </w:r>
      <w:proofErr w:type="spellStart"/>
      <w:r>
        <w:t>Navier</w:t>
      </w:r>
      <w:proofErr w:type="spellEnd"/>
      <w:r>
        <w:t>-Stokes equations for a given flow</w:t>
      </w:r>
      <w:r>
        <w:rPr>
          <w:spacing w:val="-3"/>
        </w:rPr>
        <w:t xml:space="preserve"> </w:t>
      </w:r>
      <w:r>
        <w:t>field,</w:t>
      </w:r>
      <w:r>
        <w:rPr>
          <w:spacing w:val="-2"/>
        </w:rPr>
        <w:t xml:space="preserve"> </w:t>
      </w:r>
      <w:r>
        <w:t>simplifying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solving the </w:t>
      </w:r>
      <w:proofErr w:type="spellStart"/>
      <w:r>
        <w:t>Navier</w:t>
      </w:r>
      <w:proofErr w:type="spellEnd"/>
      <w:r>
        <w:t>-Stokes equations for some of the classic problems, applying integral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volumes</w:t>
      </w:r>
      <w:r>
        <w:rPr>
          <w:spacing w:val="-7"/>
        </w:rPr>
        <w:t xml:space="preserve">, applying </w:t>
      </w:r>
      <w:r>
        <w:t xml:space="preserve">dimensional analysis (both analytically and practically), and explaining basic concepts of vorticity, turbulence, boundary layers, and computational fluid dynamics. </w:t>
      </w:r>
    </w:p>
    <w:p w:rsidR="004D0742" w:rsidRDefault="004D0742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:rsidR="004D0742" w:rsidRDefault="00B62F9D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  <w:r>
        <w:rPr>
          <w:b/>
          <w:spacing w:val="-2"/>
        </w:rPr>
        <w:t>Recommended References:</w:t>
      </w:r>
    </w:p>
    <w:p w:rsidR="004D0742" w:rsidRDefault="004D0742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:rsidR="004D0742" w:rsidRDefault="00B62F9D">
      <w:pPr>
        <w:pStyle w:val="BodyText"/>
        <w:ind w:left="720" w:right="135"/>
      </w:pPr>
      <w:r>
        <w:t>P.</w:t>
      </w:r>
      <w:r>
        <w:rPr>
          <w:spacing w:val="-3"/>
        </w:rPr>
        <w:t xml:space="preserve"> </w:t>
      </w:r>
      <w:r>
        <w:t>Kundu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Cohen,</w:t>
      </w:r>
      <w:r>
        <w:rPr>
          <w:spacing w:val="-3"/>
        </w:rPr>
        <w:t xml:space="preserve"> </w:t>
      </w:r>
      <w:r>
        <w:rPr>
          <w:i/>
        </w:rPr>
        <w:t>Fluid</w:t>
      </w:r>
      <w:r>
        <w:rPr>
          <w:i/>
          <w:spacing w:val="-4"/>
        </w:rPr>
        <w:t xml:space="preserve"> </w:t>
      </w:r>
      <w:r>
        <w:rPr>
          <w:i/>
        </w:rPr>
        <w:t>Mechanics</w:t>
      </w:r>
      <w:r>
        <w:t>,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ed.,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ISBN 9780123737359. Later editions are appropriate as well.</w:t>
      </w:r>
    </w:p>
    <w:p w:rsidR="004D0742" w:rsidRDefault="00B62F9D">
      <w:pPr>
        <w:spacing w:before="18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 Pritchard, </w:t>
      </w:r>
      <w:r>
        <w:rPr>
          <w:rFonts w:ascii="Times New Roman" w:hAnsi="Times New Roman"/>
          <w:i/>
        </w:rPr>
        <w:t>Fox and McDonald’s Introduction to Fluid Mechanics</w:t>
      </w:r>
      <w:r>
        <w:rPr>
          <w:rFonts w:ascii="Times New Roman" w:hAnsi="Times New Roman"/>
        </w:rPr>
        <w:t>, 8th ed.,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John Wiley &amp; Sons, 2011, ISBN 9780470547557.</w:t>
      </w:r>
    </w:p>
    <w:p w:rsidR="004D0742" w:rsidRDefault="004D0742">
      <w:pPr>
        <w:pStyle w:val="BodyText"/>
        <w:ind w:left="180"/>
      </w:pPr>
    </w:p>
    <w:p w:rsidR="004D0742" w:rsidRDefault="00B62F9D">
      <w:pPr>
        <w:pStyle w:val="BodyText"/>
        <w:tabs>
          <w:tab w:val="left" w:pos="2161"/>
        </w:tabs>
        <w:spacing w:line="252" w:lineRule="exact"/>
        <w:ind w:left="180"/>
        <w:rPr>
          <w:b/>
        </w:rPr>
      </w:pPr>
      <w:r>
        <w:rPr>
          <w:b/>
          <w:spacing w:val="-2"/>
        </w:rPr>
        <w:t>Exam Materials:</w:t>
      </w:r>
      <w:r>
        <w:rPr>
          <w:b/>
        </w:rPr>
        <w:tab/>
      </w:r>
    </w:p>
    <w:p w:rsidR="004D0742" w:rsidRDefault="004D0742">
      <w:pPr>
        <w:pStyle w:val="BodyText"/>
        <w:tabs>
          <w:tab w:val="left" w:pos="2161"/>
        </w:tabs>
        <w:spacing w:line="252" w:lineRule="exact"/>
        <w:ind w:left="180"/>
        <w:rPr>
          <w:spacing w:val="-2"/>
        </w:rPr>
      </w:pPr>
    </w:p>
    <w:p w:rsidR="004D0742" w:rsidRDefault="00B62F9D">
      <w:pPr>
        <w:pStyle w:val="BodyText"/>
        <w:tabs>
          <w:tab w:val="left" w:pos="2161"/>
        </w:tabs>
        <w:spacing w:line="252" w:lineRule="exact"/>
        <w:ind w:left="720"/>
      </w:pP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equation</w:t>
      </w:r>
      <w:r>
        <w:rPr>
          <w:spacing w:val="-7"/>
        </w:rPr>
        <w:t xml:space="preserve"> </w:t>
      </w:r>
      <w:r>
        <w:rPr>
          <w:spacing w:val="-2"/>
        </w:rPr>
        <w:t>sheet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to students for their preparation before the exam. The same sheet will be provided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exam.</w:t>
      </w:r>
      <w:r>
        <w:rPr>
          <w:spacing w:val="-4"/>
        </w:rPr>
        <w:t xml:space="preserve"> </w:t>
      </w: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bring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department issued </w:t>
      </w:r>
      <w:r>
        <w:rPr>
          <w:spacing w:val="-2"/>
        </w:rPr>
        <w:t xml:space="preserve">calculator.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exam.</w:t>
      </w:r>
    </w:p>
    <w:p w:rsidR="004D0742" w:rsidRDefault="004D0742">
      <w:pPr>
        <w:pStyle w:val="BodyText"/>
        <w:spacing w:before="1"/>
        <w:ind w:left="180"/>
      </w:pPr>
    </w:p>
    <w:p w:rsidR="004D0742" w:rsidRDefault="00B62F9D">
      <w:pPr>
        <w:pStyle w:val="BodyText"/>
        <w:tabs>
          <w:tab w:val="left" w:pos="2300"/>
        </w:tabs>
        <w:ind w:left="180" w:right="135"/>
      </w:pPr>
      <w:r>
        <w:rPr>
          <w:b/>
          <w:spacing w:val="-2"/>
        </w:rPr>
        <w:t>Topics:</w:t>
      </w:r>
    </w:p>
    <w:p w:rsidR="004D0742" w:rsidRDefault="004D0742">
      <w:pPr>
        <w:pStyle w:val="BodyText"/>
        <w:tabs>
          <w:tab w:val="left" w:pos="2300"/>
        </w:tabs>
        <w:ind w:left="180" w:right="135"/>
      </w:pPr>
    </w:p>
    <w:p w:rsidR="004D0742" w:rsidRDefault="00B62F9D">
      <w:pPr>
        <w:pStyle w:val="BodyText"/>
        <w:tabs>
          <w:tab w:val="left" w:pos="2300"/>
        </w:tabs>
        <w:ind w:left="720" w:right="135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sources for the topics described above.</w:t>
      </w:r>
    </w:p>
    <w:p w:rsidR="004D0742" w:rsidRDefault="004D0742">
      <w:pPr>
        <w:pStyle w:val="BodyText"/>
        <w:rPr>
          <w:sz w:val="20"/>
        </w:rPr>
      </w:pPr>
    </w:p>
    <w:tbl>
      <w:tblPr>
        <w:tblStyle w:val="TableGrid"/>
        <w:tblW w:w="6138" w:type="dxa"/>
        <w:jc w:val="center"/>
        <w:tblLayout w:type="fixed"/>
        <w:tblLook w:val="01E0" w:firstRow="1" w:lastRow="1" w:firstColumn="1" w:lastColumn="1" w:noHBand="0" w:noVBand="0"/>
      </w:tblPr>
      <w:tblGrid>
        <w:gridCol w:w="2358"/>
        <w:gridCol w:w="1890"/>
        <w:gridCol w:w="1890"/>
      </w:tblGrid>
      <w:tr w:rsidR="004D0742">
        <w:trPr>
          <w:trHeight w:val="20"/>
          <w:jc w:val="center"/>
        </w:trPr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Kundu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Cohen,</w:t>
            </w:r>
          </w:p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4th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Ed.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Pritchard,</w:t>
            </w:r>
          </w:p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8th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Ed.</w:t>
            </w: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</w:rPr>
              <w:t>Kinematics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 1-3</w:t>
            </w:r>
          </w:p>
        </w:tc>
        <w:tc>
          <w:tcPr>
            <w:tcW w:w="189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 1,2,5</w:t>
            </w: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lef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</w:rPr>
              <w:t xml:space="preserve">Conservation </w:t>
            </w:r>
            <w:r>
              <w:rPr>
                <w:spacing w:val="-4"/>
              </w:rPr>
              <w:t>Laws</w:t>
            </w:r>
          </w:p>
        </w:tc>
        <w:tc>
          <w:tcPr>
            <w:tcW w:w="1890" w:type="dxa"/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4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2,4-6</w:t>
            </w: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lef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</w:rPr>
              <w:t>Vorticity Dynamics</w:t>
            </w:r>
          </w:p>
        </w:tc>
        <w:tc>
          <w:tcPr>
            <w:tcW w:w="1890" w:type="dxa"/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5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:rsidR="004D0742" w:rsidRDefault="004D074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lef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</w:rPr>
              <w:t>Dimensional Analysis</w:t>
            </w:r>
          </w:p>
        </w:tc>
        <w:tc>
          <w:tcPr>
            <w:tcW w:w="1890" w:type="dxa"/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 8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7,10</w:t>
            </w: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lef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  <w:w w:val="95"/>
              </w:rPr>
              <w:t xml:space="preserve">Boundary </w:t>
            </w:r>
            <w:r>
              <w:rPr>
                <w:spacing w:val="-2"/>
              </w:rPr>
              <w:t>Layers</w:t>
            </w:r>
          </w:p>
        </w:tc>
        <w:tc>
          <w:tcPr>
            <w:tcW w:w="1890" w:type="dxa"/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10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9</w:t>
            </w:r>
          </w:p>
        </w:tc>
      </w:tr>
      <w:tr w:rsidR="004D0742">
        <w:trPr>
          <w:trHeight w:val="20"/>
          <w:jc w:val="center"/>
        </w:trPr>
        <w:tc>
          <w:tcPr>
            <w:tcW w:w="235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pacing w:val="-2"/>
              </w:rPr>
              <w:t>Turbulence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Ch 13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D0742" w:rsidRDefault="00B62F9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Ch 8</w:t>
            </w:r>
          </w:p>
        </w:tc>
      </w:tr>
    </w:tbl>
    <w:p w:rsidR="004D0742" w:rsidRDefault="004D0742">
      <w:pPr>
        <w:spacing w:before="1"/>
        <w:rPr>
          <w:sz w:val="10"/>
        </w:rPr>
      </w:pPr>
      <w:bookmarkStart w:id="2" w:name="PhDQualTopics-FluidDynamics"/>
      <w:bookmarkEnd w:id="2"/>
    </w:p>
    <w:sectPr w:rsidR="004D0742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42"/>
    <w:rsid w:val="004D0742"/>
    <w:rsid w:val="00564805"/>
    <w:rsid w:val="008371CD"/>
    <w:rsid w:val="00B624F8"/>
    <w:rsid w:val="00B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71C1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248" w:line="412" w:lineRule="exact"/>
      <w:ind w:left="302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3" w:lineRule="exact"/>
      <w:ind w:left="19"/>
    </w:pPr>
  </w:style>
  <w:style w:type="table" w:styleId="TableGrid">
    <w:name w:val="Table Grid"/>
    <w:basedOn w:val="TableNormal"/>
    <w:uiPriority w:val="39"/>
    <w:rsid w:val="0094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Francoeur</dc:creator>
  <dc:description/>
  <cp:lastModifiedBy>MARK ALLAN FEHLBERG</cp:lastModifiedBy>
  <cp:revision>4</cp:revision>
  <dcterms:created xsi:type="dcterms:W3CDTF">2022-09-14T19:38:00Z</dcterms:created>
  <dcterms:modified xsi:type="dcterms:W3CDTF">2022-09-15T14:31:00Z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Acrobat Pro DC 19.12.20040</vt:lpwstr>
  </property>
</Properties>
</file>