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C2" w:rsidRDefault="002D07C2" w:rsidP="002D07C2">
      <w:pPr>
        <w:pStyle w:val="BodyText"/>
      </w:pPr>
    </w:p>
    <w:p w:rsidR="008B2B22" w:rsidRPr="008B2B22" w:rsidRDefault="008B2B22" w:rsidP="008B2B22">
      <w:pPr>
        <w:suppressAutoHyphens/>
        <w:autoSpaceDE/>
        <w:autoSpaceDN/>
        <w:spacing w:before="248" w:line="412" w:lineRule="exact"/>
        <w:ind w:left="3021"/>
        <w:rPr>
          <w:b/>
          <w:bCs/>
          <w:sz w:val="36"/>
          <w:szCs w:val="36"/>
        </w:rPr>
      </w:pPr>
      <w:bookmarkStart w:id="0" w:name="_GoBack"/>
      <w:bookmarkEnd w:id="0"/>
      <w:r w:rsidRPr="008B2B22">
        <w:rPr>
          <w:b/>
          <w:bCs/>
          <w:noProof/>
          <w:sz w:val="36"/>
          <w:szCs w:val="36"/>
        </w:rPr>
        <w:drawing>
          <wp:anchor distT="0" distB="0" distL="0" distR="0" simplePos="0" relativeHeight="251656192" behindDoc="0" locked="0" layoutInCell="0" allowOverlap="1" wp14:anchorId="3B183276" wp14:editId="2A549A48">
            <wp:simplePos x="0" y="0"/>
            <wp:positionH relativeFrom="page">
              <wp:posOffset>979805</wp:posOffset>
            </wp:positionH>
            <wp:positionV relativeFrom="paragraph">
              <wp:posOffset>-150495</wp:posOffset>
            </wp:positionV>
            <wp:extent cx="1333500" cy="1295400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ofu_medallion™_r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2B22">
        <w:rPr>
          <w:b/>
          <w:bCs/>
          <w:sz w:val="36"/>
          <w:szCs w:val="36"/>
        </w:rPr>
        <w:t xml:space="preserve">Ph.D. Qualifying Exam: </w:t>
      </w:r>
      <w:r w:rsidRPr="008B2B22">
        <w:rPr>
          <w:b/>
          <w:bCs/>
          <w:sz w:val="36"/>
          <w:szCs w:val="36"/>
        </w:rPr>
        <w:t>Mechanics of Materials</w:t>
      </w:r>
    </w:p>
    <w:p w:rsidR="008B2B22" w:rsidRPr="008B2B22" w:rsidRDefault="008B2B22" w:rsidP="008B2B22">
      <w:pPr>
        <w:suppressAutoHyphens/>
        <w:autoSpaceDE/>
        <w:autoSpaceDN/>
        <w:ind w:left="3021" w:right="1859"/>
        <w:rPr>
          <w:rFonts w:eastAsia="Arial" w:cs="Arial"/>
          <w:sz w:val="24"/>
        </w:rPr>
      </w:pPr>
      <w:r w:rsidRPr="008B2B22">
        <w:rPr>
          <w:rFonts w:eastAsia="Arial" w:cs="Arial"/>
          <w:sz w:val="24"/>
        </w:rPr>
        <w:t>Department of Mechanical Engineering University of Utah</w:t>
      </w:r>
    </w:p>
    <w:p w:rsidR="008B2B22" w:rsidRPr="008B2B22" w:rsidRDefault="008B2B22" w:rsidP="008B2B22">
      <w:pPr>
        <w:suppressAutoHyphens/>
        <w:autoSpaceDE/>
        <w:autoSpaceDN/>
        <w:ind w:left="3021"/>
        <w:rPr>
          <w:rFonts w:eastAsia="Arial" w:cs="Arial"/>
          <w:sz w:val="24"/>
        </w:rPr>
      </w:pPr>
    </w:p>
    <w:p w:rsidR="008B2B22" w:rsidRPr="008B2B22" w:rsidRDefault="008B2B22" w:rsidP="008B2B22">
      <w:pPr>
        <w:suppressAutoHyphens/>
        <w:autoSpaceDE/>
        <w:autoSpaceDN/>
        <w:rPr>
          <w:sz w:val="20"/>
        </w:rPr>
      </w:pPr>
    </w:p>
    <w:p w:rsidR="008B2B22" w:rsidRPr="008B2B22" w:rsidRDefault="008B2B22" w:rsidP="008B2B22">
      <w:pPr>
        <w:suppressAutoHyphens/>
        <w:autoSpaceDE/>
        <w:autoSpaceDN/>
        <w:rPr>
          <w:sz w:val="20"/>
        </w:rPr>
      </w:pPr>
      <w:r w:rsidRPr="008B2B2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D72DE35" wp14:editId="5AC35362">
                <wp:simplePos x="0" y="0"/>
                <wp:positionH relativeFrom="page">
                  <wp:posOffset>822960</wp:posOffset>
                </wp:positionH>
                <wp:positionV relativeFrom="paragraph">
                  <wp:posOffset>288290</wp:posOffset>
                </wp:positionV>
                <wp:extent cx="5981065" cy="18415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AE222" id="docshape1" o:spid="_x0000_s1026" style="position:absolute;margin-left:64.8pt;margin-top:22.7pt;width:470.95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ONxwEAAPQDAAAOAAAAZHJzL2Uyb0RvYy54bWysU8Fu2zAMvQ/YPwi6L7aDpciMOD2saC/D&#10;WqzbByiyFAuQREFS4+TvS9Gu222nDvNBliy+R75Hend9dpadVEwGfMebVc2Z8hJ6448d//Xz9tOW&#10;s5SF74UFrzp+UYlf7z9+2I2hVWsYwPYqMiTxqR1Dx4ecQ1tVSQ7KibSCoDxeaohOZDzGY9VHMSK7&#10;s9W6rq+qEWIfIkiVEn69mS75nvi1VjLfa51UZrbjWFumNdJ6KGu134n2GEUYjJzLEP9QhRPGY9KF&#10;6kZkwZ6i+YvKGRkhgc4rCa4CrY1UpAHVNPUfah4HERRpQXNSWGxK/49Wfj89RGb6jq8588Jhi3qQ&#10;qSRuijljSC3GPIaHOJ8SbovSs46uvFEDO5Ohl8VQdc5M4sfNl21TX204k3jXbD83m8JZvYJDTPlO&#10;gWNl0/GI/SIbxelbylPoS0jJlcCa/tZYS4d4PHy1kZ1E6S09M/tvYdazsRRWIB4KeOK1Hisp8iZB&#10;tMsXq0qc9T+URldIF+WSc7JpdHC2cZheBgj1EKAEauR/J3aGFLSiiX0nfgFRfvB5wTvjIZInb9SV&#10;7QH6CzWUDMDRoqbMv0GZ3bdnsun1Z90/AwAA//8DAFBLAwQUAAYACAAAACEAp/hdE9wAAAAKAQAA&#10;DwAAAGRycy9kb3ducmV2LnhtbEyPy07DMBBF90j8gzVI7Kjd5kEa4lSAxBapgQ07J3aTiHhsYrcN&#10;f890RZd35ug+qt1iJ3YycxgdSlivBDCDndMj9hI+P94eCmAhKtRqcmgk/JoAu/r2plKldmfcm1MT&#10;e0YmGEolYYjRl5yHbjBWhZXzBul3cLNVkeTccz2rM5nbiW+EyLlVI1LCoLx5HUz33Rwt5X4ljfDF&#10;z0uP9j3dt7lP2jyT8v5ueX4CFs0S/2G41KfqUFOn1h1RBzaR3mxzQiWkWQrsAojHdQaspUuRAK8r&#10;fj2h/gMAAP//AwBQSwECLQAUAAYACAAAACEAtoM4kv4AAADhAQAAEwAAAAAAAAAAAAAAAAAAAAAA&#10;W0NvbnRlbnRfVHlwZXNdLnhtbFBLAQItABQABgAIAAAAIQA4/SH/1gAAAJQBAAALAAAAAAAAAAAA&#10;AAAAAC8BAABfcmVscy8ucmVsc1BLAQItABQABgAIAAAAIQAiLVONxwEAAPQDAAAOAAAAAAAAAAAA&#10;AAAAAC4CAABkcnMvZTJvRG9jLnhtbFBLAQItABQABgAIAAAAIQCn+F0T3AAAAAoBAAAPAAAAAAAA&#10;AAAAAAAAACEEAABkcnMvZG93bnJldi54bWxQSwUGAAAAAAQABADzAAAAKgU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1A1E8A" w:rsidRPr="008B2B22" w:rsidRDefault="001A1E8A">
      <w:pPr>
        <w:pStyle w:val="BodyText"/>
        <w:spacing w:before="1"/>
        <w:ind w:left="0"/>
        <w:rPr>
          <w:b/>
        </w:rPr>
      </w:pPr>
    </w:p>
    <w:p w:rsidR="008B2B22" w:rsidRPr="008B2B22" w:rsidRDefault="008B2B22">
      <w:pPr>
        <w:pStyle w:val="Heading1"/>
        <w:spacing w:line="230" w:lineRule="exact"/>
        <w:ind w:left="120"/>
      </w:pPr>
    </w:p>
    <w:p w:rsidR="008B2B22" w:rsidRPr="008B2B22" w:rsidRDefault="008B2B22" w:rsidP="008B2B22">
      <w:pPr>
        <w:pStyle w:val="BodyText"/>
        <w:ind w:left="180" w:right="134"/>
        <w:rPr>
          <w:b/>
          <w:w w:val="150"/>
          <w:sz w:val="22"/>
          <w:szCs w:val="22"/>
        </w:rPr>
      </w:pPr>
      <w:r w:rsidRPr="008B2B22">
        <w:rPr>
          <w:b/>
          <w:sz w:val="22"/>
          <w:szCs w:val="22"/>
        </w:rPr>
        <w:t>Exam Description:</w:t>
      </w:r>
    </w:p>
    <w:p w:rsidR="008B2B22" w:rsidRPr="008B2B22" w:rsidRDefault="008B2B22" w:rsidP="008B2B22">
      <w:pPr>
        <w:pStyle w:val="BodyText"/>
        <w:ind w:left="180" w:right="134"/>
        <w:rPr>
          <w:b/>
          <w:w w:val="150"/>
          <w:sz w:val="22"/>
          <w:szCs w:val="22"/>
        </w:rPr>
      </w:pPr>
    </w:p>
    <w:p w:rsidR="008B2B22" w:rsidRDefault="008B2B22" w:rsidP="008B2B22">
      <w:pPr>
        <w:pStyle w:val="BodyText"/>
        <w:ind w:left="720" w:right="134"/>
        <w:rPr>
          <w:sz w:val="22"/>
          <w:szCs w:val="22"/>
        </w:rPr>
      </w:pPr>
      <w:r w:rsidRPr="008B2B22">
        <w:rPr>
          <w:sz w:val="22"/>
          <w:szCs w:val="22"/>
        </w:rPr>
        <w:t xml:space="preserve">This qualifying exam will test the student’s graduate-level knowledge of </w:t>
      </w:r>
      <w:r w:rsidRPr="008B2B22">
        <w:rPr>
          <w:sz w:val="22"/>
          <w:szCs w:val="22"/>
        </w:rPr>
        <w:t>mechanics of materials</w:t>
      </w:r>
      <w:r w:rsidRPr="008B2B22">
        <w:rPr>
          <w:sz w:val="22"/>
          <w:szCs w:val="22"/>
        </w:rPr>
        <w:t xml:space="preserve">. The reference textbooks and course material that serve as a basis for this exam are taken from </w:t>
      </w:r>
      <w:r w:rsidRPr="008B2B22">
        <w:rPr>
          <w:sz w:val="22"/>
          <w:szCs w:val="22"/>
        </w:rPr>
        <w:t xml:space="preserve">ME EN 3310 and ME EN </w:t>
      </w:r>
      <w:r w:rsidRPr="008B2B22">
        <w:rPr>
          <w:sz w:val="22"/>
          <w:szCs w:val="22"/>
        </w:rPr>
        <w:t>6</w:t>
      </w:r>
      <w:r w:rsidRPr="008B2B22">
        <w:rPr>
          <w:sz w:val="22"/>
          <w:szCs w:val="22"/>
        </w:rPr>
        <w:t>2</w:t>
      </w:r>
      <w:r w:rsidRPr="008B2B22">
        <w:rPr>
          <w:sz w:val="22"/>
          <w:szCs w:val="22"/>
        </w:rPr>
        <w:t xml:space="preserve">00. The exam is focused on testing </w:t>
      </w:r>
      <w:r w:rsidRPr="008B2B22">
        <w:rPr>
          <w:sz w:val="22"/>
          <w:szCs w:val="22"/>
        </w:rPr>
        <w:t>concepts learned in mechanics of materials, along with survey of advanced topics. Includes advanced stress analysis in structural members and prediction of their failure; advanced topics in beam bending; torsion of non-circular cross- sections and thin-walled tubes; inelastic bending and torsion; energy methods; and elastic instability.</w:t>
      </w:r>
      <w:r>
        <w:rPr>
          <w:sz w:val="22"/>
          <w:szCs w:val="22"/>
        </w:rPr>
        <w:t xml:space="preserve"> Students should be able to:</w:t>
      </w:r>
    </w:p>
    <w:p w:rsidR="008B2B22" w:rsidRPr="008B2B22" w:rsidRDefault="008B2B22" w:rsidP="008B2B22">
      <w:pPr>
        <w:pStyle w:val="BodyText"/>
        <w:numPr>
          <w:ilvl w:val="0"/>
          <w:numId w:val="2"/>
        </w:numPr>
        <w:spacing w:before="240"/>
        <w:ind w:left="1080"/>
        <w:rPr>
          <w:sz w:val="22"/>
          <w:szCs w:val="22"/>
        </w:rPr>
      </w:pPr>
      <w:r>
        <w:rPr>
          <w:sz w:val="22"/>
          <w:szCs w:val="22"/>
        </w:rPr>
        <w:t>U</w:t>
      </w:r>
      <w:r w:rsidRPr="008B2B22">
        <w:rPr>
          <w:sz w:val="22"/>
          <w:szCs w:val="22"/>
        </w:rPr>
        <w:t>nderstand and evaluate complex states of stress and strain for a variety of loading scenarios</w:t>
      </w:r>
    </w:p>
    <w:p w:rsidR="008B2B22" w:rsidRPr="008B2B22" w:rsidRDefault="008B2B22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U</w:t>
      </w:r>
      <w:r w:rsidRPr="008B2B22">
        <w:rPr>
          <w:sz w:val="22"/>
          <w:szCs w:val="22"/>
        </w:rPr>
        <w:t>nderstand factors influencing material failure and accurately predict its likelihood for complex states of loading</w:t>
      </w:r>
    </w:p>
    <w:p w:rsidR="008B2B22" w:rsidRPr="008B2B22" w:rsidRDefault="008B2B22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I</w:t>
      </w:r>
      <w:r w:rsidRPr="008B2B22">
        <w:rPr>
          <w:sz w:val="22"/>
          <w:szCs w:val="22"/>
        </w:rPr>
        <w:t>dentify limitations of traditional mechanics of materials, or elementary, techniques</w:t>
      </w:r>
    </w:p>
    <w:p w:rsidR="008B2B22" w:rsidRPr="008B2B22" w:rsidRDefault="008B2B22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U</w:t>
      </w:r>
      <w:r w:rsidRPr="008B2B22">
        <w:rPr>
          <w:sz w:val="22"/>
          <w:szCs w:val="22"/>
        </w:rPr>
        <w:t xml:space="preserve">tilize solutions from Theory of Elasticity to solve complex problems that can’t be accurately addressed using traditional mechanics of materials techniques (e.g. torsion and bending of non-circular cross-sections, concentrated loads, </w:t>
      </w:r>
      <w:proofErr w:type="spellStart"/>
      <w:r w:rsidRPr="008B2B22">
        <w:rPr>
          <w:sz w:val="22"/>
          <w:szCs w:val="22"/>
        </w:rPr>
        <w:t>etc</w:t>
      </w:r>
      <w:proofErr w:type="spellEnd"/>
      <w:r w:rsidRPr="008B2B22">
        <w:rPr>
          <w:sz w:val="22"/>
          <w:szCs w:val="22"/>
        </w:rPr>
        <w:t>)</w:t>
      </w:r>
    </w:p>
    <w:p w:rsidR="008B2B22" w:rsidRPr="008B2B22" w:rsidRDefault="008B2B22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A</w:t>
      </w:r>
      <w:r w:rsidRPr="008B2B22">
        <w:rPr>
          <w:sz w:val="22"/>
          <w:szCs w:val="22"/>
        </w:rPr>
        <w:t>pply energy methods to predict multiaxial structural deformation under complex loading</w:t>
      </w:r>
    </w:p>
    <w:p w:rsidR="008B2B22" w:rsidRPr="008B2B22" w:rsidRDefault="008B2B22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A</w:t>
      </w:r>
      <w:r w:rsidRPr="008B2B22">
        <w:rPr>
          <w:sz w:val="22"/>
          <w:szCs w:val="22"/>
        </w:rPr>
        <w:t>pply fundamental principles of plasticity to predict structural deformation beyond the elastic regime</w:t>
      </w:r>
    </w:p>
    <w:p w:rsidR="008B2B22" w:rsidRPr="008B2B22" w:rsidRDefault="008B2B22" w:rsidP="008B2B22">
      <w:pPr>
        <w:pStyle w:val="BodyText"/>
        <w:tabs>
          <w:tab w:val="left" w:pos="2300"/>
        </w:tabs>
        <w:ind w:left="180" w:right="135"/>
        <w:rPr>
          <w:b/>
          <w:sz w:val="22"/>
          <w:szCs w:val="22"/>
        </w:rPr>
      </w:pPr>
    </w:p>
    <w:p w:rsidR="008B2B22" w:rsidRPr="008B2B22" w:rsidRDefault="008B2B22" w:rsidP="008B2B22">
      <w:pPr>
        <w:pStyle w:val="BodyText"/>
        <w:tabs>
          <w:tab w:val="left" w:pos="2300"/>
        </w:tabs>
        <w:ind w:left="180" w:right="135"/>
        <w:rPr>
          <w:b/>
          <w:sz w:val="22"/>
          <w:szCs w:val="22"/>
        </w:rPr>
      </w:pPr>
      <w:r w:rsidRPr="008B2B22">
        <w:rPr>
          <w:b/>
          <w:sz w:val="22"/>
          <w:szCs w:val="22"/>
        </w:rPr>
        <w:t>Recommended References:</w:t>
      </w:r>
    </w:p>
    <w:p w:rsidR="008B2B22" w:rsidRPr="008B2B22" w:rsidRDefault="008B2B22" w:rsidP="008B2B22">
      <w:pPr>
        <w:spacing w:before="183"/>
        <w:ind w:left="720"/>
      </w:pPr>
      <w:r>
        <w:t>TBD</w:t>
      </w:r>
    </w:p>
    <w:p w:rsidR="008B2B22" w:rsidRPr="008B2B22" w:rsidRDefault="008B2B22" w:rsidP="008B2B22">
      <w:pPr>
        <w:pStyle w:val="BodyText"/>
        <w:ind w:left="180"/>
        <w:rPr>
          <w:sz w:val="22"/>
          <w:szCs w:val="22"/>
        </w:rPr>
      </w:pPr>
    </w:p>
    <w:p w:rsidR="008B2B22" w:rsidRPr="008B2B22" w:rsidRDefault="008B2B22" w:rsidP="008B2B22">
      <w:pPr>
        <w:pStyle w:val="BodyText"/>
        <w:tabs>
          <w:tab w:val="left" w:pos="2161"/>
        </w:tabs>
        <w:spacing w:line="252" w:lineRule="exact"/>
        <w:ind w:left="180"/>
        <w:rPr>
          <w:b/>
          <w:sz w:val="22"/>
          <w:szCs w:val="22"/>
        </w:rPr>
      </w:pPr>
      <w:r w:rsidRPr="008B2B22">
        <w:rPr>
          <w:b/>
          <w:sz w:val="22"/>
          <w:szCs w:val="22"/>
        </w:rPr>
        <w:t>Exam Materials:</w:t>
      </w:r>
      <w:r w:rsidRPr="008B2B22">
        <w:rPr>
          <w:b/>
          <w:sz w:val="22"/>
          <w:szCs w:val="22"/>
        </w:rPr>
        <w:tab/>
      </w:r>
    </w:p>
    <w:p w:rsidR="008B2B22" w:rsidRPr="008B2B22" w:rsidRDefault="008B2B22" w:rsidP="008B2B22">
      <w:pPr>
        <w:pStyle w:val="BodyText"/>
        <w:tabs>
          <w:tab w:val="left" w:pos="2161"/>
        </w:tabs>
        <w:spacing w:line="252" w:lineRule="exact"/>
        <w:ind w:left="180"/>
        <w:rPr>
          <w:sz w:val="22"/>
          <w:szCs w:val="22"/>
        </w:rPr>
      </w:pPr>
    </w:p>
    <w:p w:rsidR="008B2B22" w:rsidRPr="008B2B22" w:rsidRDefault="008B2B22" w:rsidP="008B2B22">
      <w:pPr>
        <w:pStyle w:val="BodyText"/>
        <w:tabs>
          <w:tab w:val="left" w:pos="2161"/>
        </w:tabs>
        <w:spacing w:line="252" w:lineRule="exact"/>
        <w:ind w:left="720"/>
        <w:rPr>
          <w:sz w:val="22"/>
          <w:szCs w:val="22"/>
        </w:rPr>
      </w:pPr>
      <w:r>
        <w:rPr>
          <w:sz w:val="22"/>
          <w:szCs w:val="22"/>
        </w:rPr>
        <w:t>TBD</w:t>
      </w:r>
    </w:p>
    <w:p w:rsidR="001A1E8A" w:rsidRPr="008B2B22" w:rsidRDefault="001A1E8A">
      <w:pPr>
        <w:pStyle w:val="BodyText"/>
        <w:ind w:left="0"/>
        <w:rPr>
          <w:sz w:val="22"/>
          <w:szCs w:val="22"/>
        </w:rPr>
      </w:pPr>
    </w:p>
    <w:p w:rsidR="001A1E8A" w:rsidRDefault="008B2B2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Topics:</w:t>
      </w:r>
    </w:p>
    <w:p w:rsidR="008B2B22" w:rsidRDefault="008B2B22">
      <w:pPr>
        <w:pStyle w:val="Heading1"/>
        <w:rPr>
          <w:sz w:val="22"/>
          <w:szCs w:val="22"/>
        </w:rPr>
      </w:pPr>
    </w:p>
    <w:p w:rsidR="008B2B22" w:rsidRPr="008B2B22" w:rsidRDefault="008B2B22" w:rsidP="008B2B22">
      <w:pPr>
        <w:pStyle w:val="Heading1"/>
        <w:ind w:left="720"/>
        <w:rPr>
          <w:b w:val="0"/>
          <w:sz w:val="22"/>
          <w:szCs w:val="22"/>
        </w:rPr>
      </w:pPr>
      <w:r w:rsidRPr="008B2B22">
        <w:rPr>
          <w:b w:val="0"/>
          <w:sz w:val="22"/>
          <w:szCs w:val="22"/>
        </w:rPr>
        <w:t>Topics covered include:</w:t>
      </w:r>
    </w:p>
    <w:p w:rsidR="008B2B22" w:rsidRPr="008B2B22" w:rsidRDefault="008B2B22">
      <w:pPr>
        <w:pStyle w:val="Heading1"/>
        <w:rPr>
          <w:sz w:val="22"/>
          <w:szCs w:val="22"/>
        </w:rPr>
      </w:pPr>
    </w:p>
    <w:p w:rsidR="008B2B22" w:rsidRDefault="008B2B22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  <w:sectPr w:rsidR="008B2B22" w:rsidSect="008B2B2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Stress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Strain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Material properties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Failure criteria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Fracture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Fatigue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Impact, dynamic loading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Overview of Elasticity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Concentrated loads and stresses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Contact stresses</w:t>
      </w:r>
      <w:r w:rsidR="008B2B22">
        <w:rPr>
          <w:sz w:val="22"/>
          <w:szCs w:val="22"/>
        </w:rPr>
        <w:br w:type="column"/>
      </w:r>
    </w:p>
    <w:p w:rsidR="008B2B22" w:rsidRP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Beam bending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Torsion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proofErr w:type="spellStart"/>
      <w:r w:rsidRPr="008B2B22">
        <w:rPr>
          <w:sz w:val="22"/>
          <w:szCs w:val="22"/>
        </w:rPr>
        <w:t>Axisymm</w:t>
      </w:r>
      <w:proofErr w:type="spellEnd"/>
      <w:r w:rsidRPr="008B2B22">
        <w:rPr>
          <w:sz w:val="22"/>
          <w:szCs w:val="22"/>
        </w:rPr>
        <w:t xml:space="preserve"> loading – pressure vessels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proofErr w:type="spellStart"/>
      <w:r w:rsidRPr="008B2B22">
        <w:rPr>
          <w:sz w:val="22"/>
          <w:szCs w:val="22"/>
        </w:rPr>
        <w:t>Axisymm</w:t>
      </w:r>
      <w:proofErr w:type="spellEnd"/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l</w:t>
      </w:r>
      <w:r w:rsidRPr="008B2B22">
        <w:rPr>
          <w:sz w:val="22"/>
          <w:szCs w:val="22"/>
        </w:rPr>
        <w:t>oading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–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rotating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discs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Energy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methods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Stability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of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columns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Stability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of</w:t>
      </w:r>
      <w:r w:rsidRPr="008B2B22">
        <w:rPr>
          <w:sz w:val="22"/>
          <w:szCs w:val="22"/>
        </w:rPr>
        <w:t xml:space="preserve"> </w:t>
      </w:r>
      <w:r w:rsidRPr="008B2B22">
        <w:rPr>
          <w:sz w:val="22"/>
          <w:szCs w:val="22"/>
        </w:rPr>
        <w:t>columns</w:t>
      </w:r>
    </w:p>
    <w:p w:rsid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Plasticity</w:t>
      </w:r>
    </w:p>
    <w:p w:rsidR="001A1E8A" w:rsidRPr="008B2B22" w:rsidRDefault="00CA360D" w:rsidP="008B2B22">
      <w:pPr>
        <w:pStyle w:val="BodyText"/>
        <w:numPr>
          <w:ilvl w:val="0"/>
          <w:numId w:val="2"/>
        </w:numPr>
        <w:ind w:left="1080"/>
        <w:rPr>
          <w:sz w:val="22"/>
          <w:szCs w:val="22"/>
        </w:rPr>
      </w:pPr>
      <w:r w:rsidRPr="008B2B22">
        <w:rPr>
          <w:sz w:val="22"/>
          <w:szCs w:val="22"/>
        </w:rPr>
        <w:t>Plates and shells</w:t>
      </w:r>
    </w:p>
    <w:sectPr w:rsidR="001A1E8A" w:rsidRPr="008B2B22" w:rsidSect="008B2B22">
      <w:type w:val="continuous"/>
      <w:pgSz w:w="12240" w:h="15840"/>
      <w:pgMar w:top="720" w:right="720" w:bottom="720" w:left="72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038"/>
    <w:multiLevelType w:val="hybridMultilevel"/>
    <w:tmpl w:val="86BA3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2616CB"/>
    <w:multiLevelType w:val="hybridMultilevel"/>
    <w:tmpl w:val="C2329B2A"/>
    <w:lvl w:ilvl="0" w:tplc="344A84A8">
      <w:start w:val="5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E47AF"/>
    <w:multiLevelType w:val="hybridMultilevel"/>
    <w:tmpl w:val="6FDCEC5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29727C"/>
    <w:multiLevelType w:val="hybridMultilevel"/>
    <w:tmpl w:val="976A479A"/>
    <w:lvl w:ilvl="0" w:tplc="2E9A556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A3C06D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998E660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A42489A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A4FCF190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AC7EDC5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1354D4D2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029683C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11E00A2C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BA252D"/>
    <w:multiLevelType w:val="hybridMultilevel"/>
    <w:tmpl w:val="C23040AC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8A"/>
    <w:rsid w:val="001A1E8A"/>
    <w:rsid w:val="002D07C2"/>
    <w:rsid w:val="008B2B22"/>
    <w:rsid w:val="00C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07F8"/>
  <w15:docId w15:val="{827365FF-F09D-413A-8E19-2CA9682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602" w:right="256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5300 Syllabus</vt:lpstr>
    </vt:vector>
  </TitlesOfParts>
  <Company>U of 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5300 Syllabus</dc:title>
  <dc:creator>KM</dc:creator>
  <cp:lastModifiedBy>MARK FEHLBERG</cp:lastModifiedBy>
  <cp:revision>3</cp:revision>
  <dcterms:created xsi:type="dcterms:W3CDTF">2022-09-14T19:31:00Z</dcterms:created>
  <dcterms:modified xsi:type="dcterms:W3CDTF">2022-09-14T19:38:00Z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2022-09-14T00:00:00Z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D:20220825223522</vt:lpwstr>
  </property>
</Properties>
</file>