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42" w:rsidRPr="00C81575" w:rsidRDefault="004D0742">
      <w:pPr>
        <w:pStyle w:val="BodyText"/>
        <w:rPr>
          <w:sz w:val="20"/>
        </w:rPr>
      </w:pPr>
    </w:p>
    <w:p w:rsidR="004D0742" w:rsidRPr="00C81575" w:rsidRDefault="00B62F9D">
      <w:pPr>
        <w:pStyle w:val="Title"/>
      </w:pPr>
      <w:bookmarkStart w:id="0" w:name="Fluids_Syllabus"/>
      <w:bookmarkEnd w:id="0"/>
      <w:r w:rsidRPr="00C81575">
        <w:rPr>
          <w:noProof/>
        </w:rPr>
        <w:drawing>
          <wp:anchor distT="0" distB="0" distL="0" distR="0" simplePos="0" relativeHeight="3" behindDoc="0" locked="0" layoutInCell="0" allowOverlap="1">
            <wp:simplePos x="0" y="0"/>
            <wp:positionH relativeFrom="page">
              <wp:posOffset>979805</wp:posOffset>
            </wp:positionH>
            <wp:positionV relativeFrom="paragraph">
              <wp:posOffset>-150495</wp:posOffset>
            </wp:positionV>
            <wp:extent cx="1333500" cy="1295400"/>
            <wp:effectExtent l="0" t="0" r="0" b="0"/>
            <wp:wrapNone/>
            <wp:docPr id="1" name="image1.jpeg" descr="uofu_medallion™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ofu_medallion™_red"/>
                    <pic:cNvPicPr>
                      <a:picLocks noChangeAspect="1" noChangeArrowheads="1"/>
                    </pic:cNvPicPr>
                  </pic:nvPicPr>
                  <pic:blipFill>
                    <a:blip r:embed="rId5"/>
                    <a:stretch>
                      <a:fillRect/>
                    </a:stretch>
                  </pic:blipFill>
                  <pic:spPr bwMode="auto">
                    <a:xfrm>
                      <a:off x="0" y="0"/>
                      <a:ext cx="1333500" cy="1295400"/>
                    </a:xfrm>
                    <a:prstGeom prst="rect">
                      <a:avLst/>
                    </a:prstGeom>
                  </pic:spPr>
                </pic:pic>
              </a:graphicData>
            </a:graphic>
          </wp:anchor>
        </w:drawing>
      </w:r>
      <w:r w:rsidRPr="00C81575">
        <w:t xml:space="preserve">Ph.D. Qualifying Exam: </w:t>
      </w:r>
      <w:r w:rsidR="00C81575" w:rsidRPr="00C81575">
        <w:t>Thermodynamics</w:t>
      </w:r>
    </w:p>
    <w:p w:rsidR="004D0742" w:rsidRPr="00C81575" w:rsidRDefault="00B62F9D">
      <w:pPr>
        <w:ind w:left="3021" w:right="1859"/>
        <w:rPr>
          <w:rFonts w:ascii="Times New Roman" w:hAnsi="Times New Roman"/>
          <w:sz w:val="24"/>
        </w:rPr>
      </w:pPr>
      <w:r w:rsidRPr="00C81575">
        <w:rPr>
          <w:rFonts w:ascii="Times New Roman" w:hAnsi="Times New Roman"/>
          <w:sz w:val="24"/>
        </w:rPr>
        <w:t>Department of Mechanical Engineering University of Utah</w:t>
      </w:r>
    </w:p>
    <w:p w:rsidR="004D0742" w:rsidRPr="00C81575" w:rsidRDefault="004D0742">
      <w:pPr>
        <w:ind w:left="3021"/>
        <w:rPr>
          <w:rFonts w:ascii="Times New Roman" w:hAnsi="Times New Roman"/>
          <w:sz w:val="24"/>
        </w:rPr>
      </w:pPr>
    </w:p>
    <w:p w:rsidR="004D0742" w:rsidRPr="00C81575" w:rsidRDefault="004D0742">
      <w:pPr>
        <w:pStyle w:val="BodyText"/>
        <w:rPr>
          <w:sz w:val="20"/>
        </w:rPr>
      </w:pPr>
    </w:p>
    <w:p w:rsidR="004D0742" w:rsidRPr="00C81575" w:rsidRDefault="004D0742">
      <w:pPr>
        <w:pStyle w:val="BodyText"/>
        <w:rPr>
          <w:sz w:val="20"/>
        </w:rPr>
      </w:pPr>
    </w:p>
    <w:p w:rsidR="004D0742" w:rsidRPr="00C81575" w:rsidRDefault="00B62F9D">
      <w:pPr>
        <w:pStyle w:val="BodyText"/>
        <w:spacing w:before="2"/>
        <w:rPr>
          <w:sz w:val="20"/>
        </w:rPr>
      </w:pPr>
      <w:r w:rsidRPr="00C81575">
        <w:rPr>
          <w:noProof/>
          <w:sz w:val="20"/>
        </w:rPr>
        <mc:AlternateContent>
          <mc:Choice Requires="wps">
            <w:drawing>
              <wp:anchor distT="0" distB="0" distL="0" distR="0" simplePos="0" relativeHeight="2" behindDoc="1" locked="0" layoutInCell="0" allowOverlap="1">
                <wp:simplePos x="0" y="0"/>
                <wp:positionH relativeFrom="page">
                  <wp:posOffset>896620</wp:posOffset>
                </wp:positionH>
                <wp:positionV relativeFrom="paragraph">
                  <wp:posOffset>162560</wp:posOffset>
                </wp:positionV>
                <wp:extent cx="5981065" cy="18415"/>
                <wp:effectExtent l="0" t="0" r="0" b="0"/>
                <wp:wrapTopAndBottom/>
                <wp:docPr id="2" name="docshape1"/>
                <wp:cNvGraphicFramePr/>
                <a:graphic xmlns:a="http://schemas.openxmlformats.org/drawingml/2006/main">
                  <a:graphicData uri="http://schemas.microsoft.com/office/word/2010/wordprocessingShape">
                    <wps:wsp>
                      <wps:cNvSpPr/>
                      <wps:spPr>
                        <a:xfrm>
                          <a:off x="0" y="0"/>
                          <a:ext cx="5981040" cy="183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A0BDE1A" id="docshape1" o:spid="_x0000_s1026" style="position:absolute;margin-left:70.6pt;margin-top:12.8pt;width:470.95pt;height:1.4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" o:allowincell="f" fillcolor="black" stroked="f" strokeweight="0">
                <w10:wrap type="topAndBottom" anchorx="page"/>
              </v:rect>
            </w:pict>
          </mc:Fallback>
        </mc:AlternateContent>
      </w:r>
    </w:p>
    <w:p w:rsidR="004D0742" w:rsidRPr="00C81575" w:rsidRDefault="004D0742">
      <w:pPr>
        <w:pStyle w:val="BodyText"/>
        <w:rPr>
          <w:sz w:val="20"/>
        </w:rPr>
      </w:pPr>
    </w:p>
    <w:p w:rsidR="004D0742" w:rsidRPr="00C81575" w:rsidRDefault="004D0742">
      <w:pPr>
        <w:pStyle w:val="BodyText"/>
        <w:spacing w:before="5"/>
        <w:rPr>
          <w:sz w:val="23"/>
        </w:rPr>
      </w:pPr>
    </w:p>
    <w:p w:rsidR="004D0742" w:rsidRPr="00C81575" w:rsidRDefault="00B62F9D">
      <w:pPr>
        <w:pStyle w:val="BodyText"/>
        <w:ind w:left="180" w:right="134"/>
        <w:rPr>
          <w:b/>
        </w:rPr>
      </w:pPr>
      <w:r w:rsidRPr="00C81575">
        <w:rPr>
          <w:b/>
        </w:rPr>
        <w:t>Exam Description:</w:t>
      </w:r>
    </w:p>
    <w:p w:rsidR="004D0742" w:rsidRPr="00C81575" w:rsidRDefault="004D0742">
      <w:pPr>
        <w:pStyle w:val="BodyText"/>
        <w:ind w:left="180" w:right="134"/>
        <w:rPr>
          <w:b/>
        </w:rPr>
      </w:pPr>
    </w:p>
    <w:p w:rsidR="004D0742" w:rsidRPr="00C81575" w:rsidRDefault="00B62F9D" w:rsidP="00C81575">
      <w:pPr>
        <w:pStyle w:val="BodyText"/>
        <w:ind w:left="720" w:right="134"/>
      </w:pPr>
      <w:r w:rsidRPr="00C81575">
        <w:t xml:space="preserve">This qualifying exam will test the student’s graduate-level knowledge of </w:t>
      </w:r>
      <w:r w:rsidR="00C81575" w:rsidRPr="00C81575">
        <w:t>thermodynamics</w:t>
      </w:r>
      <w:r w:rsidRPr="00C81575">
        <w:t xml:space="preserve">. </w:t>
      </w:r>
      <w:r w:rsidR="00C81575" w:rsidRPr="00C81575">
        <w:t>Topics will include equilibrium thermodynamics, availability analysis, equations of state, thermodynamic property relations, mixtures, multiphase-multicomponent systems, combustion reactions and availability and statistical thermodynamics.</w:t>
      </w:r>
    </w:p>
    <w:p w:rsidR="00C81575" w:rsidRPr="00C81575" w:rsidRDefault="00C81575" w:rsidP="00C81575">
      <w:pPr>
        <w:pStyle w:val="BodyText"/>
        <w:ind w:left="720" w:right="134"/>
        <w:rPr>
          <w:b/>
        </w:rPr>
      </w:pPr>
    </w:p>
    <w:p w:rsidR="004D0742" w:rsidRPr="00C81575" w:rsidRDefault="00B62F9D">
      <w:pPr>
        <w:pStyle w:val="BodyText"/>
        <w:tabs>
          <w:tab w:val="left" w:pos="2300"/>
        </w:tabs>
        <w:ind w:left="180" w:right="135"/>
        <w:rPr>
          <w:b/>
        </w:rPr>
      </w:pPr>
      <w:r w:rsidRPr="00C81575">
        <w:rPr>
          <w:b/>
        </w:rPr>
        <w:t>Recommended Reference:</w:t>
      </w:r>
    </w:p>
    <w:p w:rsidR="004D0742" w:rsidRPr="00C81575" w:rsidRDefault="004D0742">
      <w:pPr>
        <w:pStyle w:val="BodyText"/>
        <w:tabs>
          <w:tab w:val="left" w:pos="2300"/>
        </w:tabs>
        <w:ind w:left="180" w:right="135"/>
        <w:rPr>
          <w:b/>
        </w:rPr>
      </w:pPr>
    </w:p>
    <w:p w:rsidR="004D0742" w:rsidRPr="00C81575" w:rsidRDefault="00C81575" w:rsidP="00C81575">
      <w:pPr>
        <w:pStyle w:val="BodyText"/>
        <w:ind w:left="720"/>
      </w:pPr>
      <w:r w:rsidRPr="00C81575">
        <w:rPr>
          <w:i/>
        </w:rPr>
        <w:t>Thermodynamics: An Engineering Approach, 8th Edition</w:t>
      </w:r>
      <w:r w:rsidRPr="00C81575">
        <w:t xml:space="preserve">, Y.A. </w:t>
      </w:r>
      <w:proofErr w:type="spellStart"/>
      <w:r w:rsidRPr="00C81575">
        <w:t>Cengel</w:t>
      </w:r>
      <w:proofErr w:type="spellEnd"/>
      <w:r w:rsidRPr="00C81575">
        <w:t xml:space="preserve"> and M.A. Boles, ISBN: 978007339817.</w:t>
      </w:r>
    </w:p>
    <w:p w:rsidR="00C81575" w:rsidRPr="00C81575" w:rsidRDefault="00C81575" w:rsidP="00C81575">
      <w:pPr>
        <w:pStyle w:val="BodyText"/>
        <w:ind w:left="720"/>
      </w:pPr>
    </w:p>
    <w:p w:rsidR="004D0742" w:rsidRPr="00C81575" w:rsidRDefault="00B62F9D">
      <w:pPr>
        <w:pStyle w:val="BodyText"/>
        <w:tabs>
          <w:tab w:val="left" w:pos="2161"/>
        </w:tabs>
        <w:spacing w:line="252" w:lineRule="exact"/>
        <w:ind w:left="180"/>
        <w:rPr>
          <w:b/>
        </w:rPr>
      </w:pPr>
      <w:r w:rsidRPr="00C81575">
        <w:rPr>
          <w:b/>
        </w:rPr>
        <w:t>Exam Materials:</w:t>
      </w:r>
      <w:r w:rsidRPr="00C81575">
        <w:rPr>
          <w:b/>
        </w:rPr>
        <w:tab/>
      </w:r>
    </w:p>
    <w:p w:rsidR="004D0742" w:rsidRPr="00C81575" w:rsidRDefault="004D0742">
      <w:pPr>
        <w:pStyle w:val="BodyText"/>
        <w:tabs>
          <w:tab w:val="left" w:pos="2161"/>
        </w:tabs>
        <w:spacing w:line="252" w:lineRule="exact"/>
        <w:ind w:left="180"/>
      </w:pPr>
    </w:p>
    <w:p w:rsidR="004D0742" w:rsidRPr="00C81575" w:rsidRDefault="00C81575">
      <w:pPr>
        <w:pStyle w:val="BodyText"/>
        <w:tabs>
          <w:tab w:val="left" w:pos="2161"/>
        </w:tabs>
        <w:spacing w:line="252" w:lineRule="exact"/>
        <w:ind w:left="720"/>
      </w:pPr>
      <w:r>
        <w:t>TBD</w:t>
      </w:r>
    </w:p>
    <w:p w:rsidR="004D0742" w:rsidRPr="00C81575" w:rsidRDefault="004D0742">
      <w:pPr>
        <w:pStyle w:val="BodyText"/>
        <w:spacing w:before="1"/>
        <w:ind w:left="180"/>
      </w:pPr>
    </w:p>
    <w:p w:rsidR="004D0742" w:rsidRPr="00C81575" w:rsidRDefault="00B62F9D">
      <w:pPr>
        <w:pStyle w:val="BodyText"/>
        <w:tabs>
          <w:tab w:val="left" w:pos="2300"/>
        </w:tabs>
        <w:ind w:left="180" w:right="135"/>
      </w:pPr>
      <w:r w:rsidRPr="00C81575">
        <w:rPr>
          <w:b/>
        </w:rPr>
        <w:t>Topics:</w:t>
      </w:r>
    </w:p>
    <w:p w:rsidR="004D0742" w:rsidRDefault="004D0742">
      <w:pPr>
        <w:pStyle w:val="BodyText"/>
        <w:tabs>
          <w:tab w:val="left" w:pos="2300"/>
        </w:tabs>
        <w:ind w:left="180" w:right="135"/>
      </w:pPr>
    </w:p>
    <w:p w:rsidR="00C81575" w:rsidRDefault="00C81575" w:rsidP="00C81575">
      <w:pPr>
        <w:pStyle w:val="BodyText"/>
        <w:tabs>
          <w:tab w:val="left" w:pos="2300"/>
        </w:tabs>
        <w:ind w:left="720" w:right="135"/>
      </w:pPr>
      <w:r>
        <w:t>T</w:t>
      </w:r>
      <w:r>
        <w:t xml:space="preserve">hermodynamic systems </w:t>
      </w:r>
      <w:r>
        <w:t xml:space="preserve">analysis </w:t>
      </w:r>
      <w:r>
        <w:t>using:</w:t>
      </w:r>
    </w:p>
    <w:p w:rsidR="00C81575" w:rsidRDefault="00C81575" w:rsidP="00C81575">
      <w:pPr>
        <w:pStyle w:val="BodyText"/>
        <w:numPr>
          <w:ilvl w:val="0"/>
          <w:numId w:val="1"/>
        </w:numPr>
        <w:tabs>
          <w:tab w:val="left" w:pos="2300"/>
        </w:tabs>
        <w:ind w:right="135"/>
      </w:pPr>
      <w:r>
        <w:t>First Law/Energy balance</w:t>
      </w:r>
    </w:p>
    <w:p w:rsidR="00C81575" w:rsidRDefault="00C81575" w:rsidP="00C81575">
      <w:pPr>
        <w:pStyle w:val="BodyText"/>
        <w:numPr>
          <w:ilvl w:val="0"/>
          <w:numId w:val="1"/>
        </w:numPr>
        <w:tabs>
          <w:tab w:val="left" w:pos="2300"/>
        </w:tabs>
        <w:ind w:right="135"/>
      </w:pPr>
      <w:r>
        <w:t>Second law/Entropy balance</w:t>
      </w:r>
    </w:p>
    <w:p w:rsidR="00C81575" w:rsidRDefault="00C81575" w:rsidP="00C81575">
      <w:pPr>
        <w:pStyle w:val="BodyText"/>
        <w:numPr>
          <w:ilvl w:val="0"/>
          <w:numId w:val="1"/>
        </w:numPr>
        <w:tabs>
          <w:tab w:val="left" w:pos="2300"/>
        </w:tabs>
        <w:ind w:right="135"/>
      </w:pPr>
      <w:r>
        <w:t>Exergy/available work</w:t>
      </w:r>
    </w:p>
    <w:p w:rsidR="00C81575" w:rsidRDefault="00C81575" w:rsidP="00C81575">
      <w:pPr>
        <w:pStyle w:val="BodyText"/>
        <w:numPr>
          <w:ilvl w:val="0"/>
          <w:numId w:val="1"/>
        </w:numPr>
        <w:tabs>
          <w:tab w:val="left" w:pos="2300"/>
        </w:tabs>
        <w:ind w:right="135"/>
      </w:pPr>
      <w:r>
        <w:t>Maxwell relations</w:t>
      </w:r>
    </w:p>
    <w:p w:rsidR="00C81575" w:rsidRDefault="00C81575" w:rsidP="00C81575">
      <w:pPr>
        <w:pStyle w:val="BodyText"/>
        <w:numPr>
          <w:ilvl w:val="0"/>
          <w:numId w:val="1"/>
        </w:numPr>
        <w:tabs>
          <w:tab w:val="left" w:pos="2300"/>
        </w:tabs>
        <w:ind w:right="135"/>
      </w:pPr>
      <w:r>
        <w:t>Clapeyron equation</w:t>
      </w:r>
    </w:p>
    <w:p w:rsidR="00C81575" w:rsidRDefault="00C81575" w:rsidP="00C81575">
      <w:pPr>
        <w:pStyle w:val="BodyText"/>
        <w:numPr>
          <w:ilvl w:val="0"/>
          <w:numId w:val="1"/>
        </w:numPr>
        <w:tabs>
          <w:tab w:val="left" w:pos="2300"/>
        </w:tabs>
        <w:ind w:right="135"/>
      </w:pPr>
      <w:r>
        <w:t>Gibbs free energy</w:t>
      </w:r>
    </w:p>
    <w:p w:rsidR="00C81575" w:rsidRDefault="00C81575" w:rsidP="00C81575">
      <w:pPr>
        <w:pStyle w:val="BodyText"/>
        <w:tabs>
          <w:tab w:val="left" w:pos="2300"/>
        </w:tabs>
        <w:ind w:left="720" w:right="135"/>
      </w:pPr>
    </w:p>
    <w:p w:rsidR="00C81575" w:rsidRDefault="00C81575" w:rsidP="00C81575">
      <w:pPr>
        <w:pStyle w:val="BodyText"/>
        <w:tabs>
          <w:tab w:val="left" w:pos="2300"/>
        </w:tabs>
        <w:ind w:left="720" w:right="135"/>
      </w:pPr>
      <w:r>
        <w:t>C</w:t>
      </w:r>
      <w:r>
        <w:t>ontemporary sustainability issues related to mixtures, multiphase- multicomponent systems, combustion reactions; such as economic, social, and environmental impacts.</w:t>
      </w:r>
    </w:p>
    <w:p w:rsidR="00C81575" w:rsidRDefault="00C81575" w:rsidP="00C81575">
      <w:pPr>
        <w:pStyle w:val="BodyText"/>
        <w:tabs>
          <w:tab w:val="left" w:pos="2300"/>
        </w:tabs>
        <w:ind w:left="720" w:right="135"/>
      </w:pPr>
    </w:p>
    <w:p w:rsidR="00C81575" w:rsidRDefault="00C81575" w:rsidP="00C81575">
      <w:pPr>
        <w:pStyle w:val="BodyText"/>
        <w:tabs>
          <w:tab w:val="left" w:pos="2300"/>
        </w:tabs>
        <w:ind w:left="720" w:right="135"/>
      </w:pPr>
      <w:r>
        <w:t>D</w:t>
      </w:r>
      <w:r>
        <w:t>esign-related analysis on specific engineering components for energy systems such as:</w:t>
      </w:r>
    </w:p>
    <w:p w:rsidR="00C81575" w:rsidRDefault="00C81575" w:rsidP="00C81575">
      <w:pPr>
        <w:pStyle w:val="BodyText"/>
        <w:numPr>
          <w:ilvl w:val="0"/>
          <w:numId w:val="2"/>
        </w:numPr>
        <w:tabs>
          <w:tab w:val="left" w:pos="2300"/>
        </w:tabs>
        <w:ind w:right="135"/>
      </w:pPr>
      <w:r>
        <w:t>Gas power cycles</w:t>
      </w:r>
    </w:p>
    <w:p w:rsidR="00C81575" w:rsidRDefault="00C81575" w:rsidP="00C81575">
      <w:pPr>
        <w:pStyle w:val="BodyText"/>
        <w:numPr>
          <w:ilvl w:val="0"/>
          <w:numId w:val="2"/>
        </w:numPr>
        <w:tabs>
          <w:tab w:val="left" w:pos="2300"/>
        </w:tabs>
        <w:ind w:right="135"/>
      </w:pPr>
      <w:r>
        <w:t>Vapor power cycles</w:t>
      </w:r>
    </w:p>
    <w:p w:rsidR="00C81575" w:rsidRDefault="00C81575" w:rsidP="00C81575">
      <w:pPr>
        <w:pStyle w:val="BodyText"/>
        <w:numPr>
          <w:ilvl w:val="0"/>
          <w:numId w:val="2"/>
        </w:numPr>
        <w:tabs>
          <w:tab w:val="left" w:pos="2300"/>
        </w:tabs>
        <w:ind w:right="135"/>
      </w:pPr>
      <w:r>
        <w:t>Refrigeration</w:t>
      </w:r>
    </w:p>
    <w:p w:rsidR="00C81575" w:rsidRDefault="00C81575" w:rsidP="00C81575">
      <w:pPr>
        <w:pStyle w:val="BodyText"/>
        <w:numPr>
          <w:ilvl w:val="0"/>
          <w:numId w:val="2"/>
        </w:numPr>
        <w:tabs>
          <w:tab w:val="left" w:pos="2300"/>
        </w:tabs>
        <w:ind w:right="135"/>
      </w:pPr>
      <w:r>
        <w:t>Combustion heating</w:t>
      </w:r>
    </w:p>
    <w:p w:rsidR="00C81575" w:rsidRDefault="00C81575" w:rsidP="00C81575">
      <w:pPr>
        <w:pStyle w:val="BodyText"/>
        <w:numPr>
          <w:ilvl w:val="0"/>
          <w:numId w:val="2"/>
        </w:numPr>
        <w:tabs>
          <w:tab w:val="left" w:pos="2300"/>
        </w:tabs>
        <w:ind w:right="135"/>
      </w:pPr>
      <w:r>
        <w:t>Energy storage devices</w:t>
      </w:r>
    </w:p>
    <w:p w:rsidR="00C81575" w:rsidRDefault="00C81575" w:rsidP="00C81575">
      <w:pPr>
        <w:pStyle w:val="BodyText"/>
        <w:tabs>
          <w:tab w:val="left" w:pos="2300"/>
        </w:tabs>
        <w:ind w:left="720" w:right="135"/>
      </w:pPr>
      <w:r>
        <w:t>including mixtures, multiphase, and multicomponent systems.</w:t>
      </w:r>
    </w:p>
    <w:p w:rsidR="00C81575" w:rsidRDefault="00C81575" w:rsidP="00C81575">
      <w:pPr>
        <w:pStyle w:val="BodyText"/>
        <w:tabs>
          <w:tab w:val="left" w:pos="2300"/>
        </w:tabs>
        <w:ind w:left="720" w:right="135"/>
      </w:pPr>
    </w:p>
    <w:p w:rsidR="00C81575" w:rsidRPr="00C81575" w:rsidRDefault="00C81575" w:rsidP="00C81575">
      <w:pPr>
        <w:pStyle w:val="BodyText"/>
        <w:tabs>
          <w:tab w:val="left" w:pos="2300"/>
        </w:tabs>
        <w:ind w:left="720" w:right="135"/>
      </w:pPr>
      <w:r>
        <w:t>D</w:t>
      </w:r>
      <w:bookmarkStart w:id="1" w:name="_GoBack"/>
      <w:bookmarkEnd w:id="1"/>
      <w:r>
        <w:t>esign refers to the process in which analysis, iteration, judgment, and engineering fundamentals are used to make choices between different engineering parameters such as geometry characteristics, flow rates, energy capacities, and second law compatibility to meet specific performance and operation requirements, or other outside limitations.</w:t>
      </w:r>
    </w:p>
    <w:sectPr w:rsidR="00C81575" w:rsidRPr="00C81575">
      <w:pgSz w:w="12240" w:h="15840"/>
      <w:pgMar w:top="720" w:right="720" w:bottom="720" w:left="720"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C389D"/>
    <w:multiLevelType w:val="hybridMultilevel"/>
    <w:tmpl w:val="1F10F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2B1C8E"/>
    <w:multiLevelType w:val="hybridMultilevel"/>
    <w:tmpl w:val="3A868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2"/>
    <w:rsid w:val="004D0742"/>
    <w:rsid w:val="00564805"/>
    <w:rsid w:val="008371CD"/>
    <w:rsid w:val="00B624F8"/>
    <w:rsid w:val="00B62F9D"/>
    <w:rsid w:val="00C81575"/>
    <w:rsid w:val="00E235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3E1F"/>
  <w15:docId w15:val="{827365FF-F09D-413A-8E19-2CA9682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rPr>
      <w:rFonts w:ascii="Times New Roman" w:eastAsia="Times New Roman" w:hAnsi="Times New Roman" w:cs="Times New Roman"/>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uiPriority w:val="10"/>
    <w:qFormat/>
    <w:pPr>
      <w:spacing w:before="248" w:line="412" w:lineRule="exact"/>
      <w:ind w:left="3021"/>
    </w:pPr>
    <w:rPr>
      <w:rFonts w:ascii="Times New Roman" w:eastAsia="Times New Roman" w:hAnsi="Times New Roman" w:cs="Times New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3" w:lineRule="exact"/>
      <w:ind w:left="19"/>
    </w:pPr>
  </w:style>
  <w:style w:type="table" w:styleId="TableGrid">
    <w:name w:val="Table Grid"/>
    <w:basedOn w:val="TableNormal"/>
    <w:uiPriority w:val="39"/>
    <w:rsid w:val="0094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Francoeur</dc:creator>
  <dc:description/>
  <cp:lastModifiedBy>MARK ALLAN FEHLBERG</cp:lastModifiedBy>
  <cp:revision>3</cp:revision>
  <dcterms:created xsi:type="dcterms:W3CDTF">2022-09-15T14:39:00Z</dcterms:created>
  <dcterms:modified xsi:type="dcterms:W3CDTF">2022-09-15T14:44:00Z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Adobe Acrobat Pro DC 19.12.20040</vt:lpwstr>
  </property>
  <property fmtid="{D5CDD505-2E9C-101B-9397-08002B2CF9AE}" pid="4" name="LastSaved">
    <vt:filetime>2022-08-15T00:00:00Z</vt:filetime>
  </property>
  <property fmtid="{D5CDD505-2E9C-101B-9397-08002B2CF9AE}" pid="5" name="Producer">
    <vt:lpwstr>Adobe Acrobat Pro DC 19.12.20040</vt:lpwstr>
  </property>
</Properties>
</file>